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8C4" w:rsidRPr="00537AD5" w:rsidRDefault="00BB08C4" w:rsidP="00BB08C4">
      <w:pPr>
        <w:spacing w:before="120" w:after="120" w:line="360" w:lineRule="auto"/>
        <w:jc w:val="both"/>
        <w:rPr>
          <w:rFonts w:eastAsiaTheme="majorEastAsia"/>
          <w:lang w:val="pt-BR"/>
        </w:rPr>
      </w:pPr>
      <w:r w:rsidRPr="00537AD5">
        <w:rPr>
          <w:rFonts w:eastAsiaTheme="majorEastAsia"/>
          <w:b/>
          <w:bCs/>
          <w:sz w:val="24"/>
          <w:szCs w:val="24"/>
          <w:lang w:val="pt-BR"/>
        </w:rPr>
        <w:t xml:space="preserve">KHẢI </w:t>
      </w:r>
      <w:r w:rsidRPr="00537AD5">
        <w:rPr>
          <w:rFonts w:eastAsiaTheme="majorEastAsia"/>
          <w:b/>
          <w:bCs/>
          <w:lang w:val="pt-BR"/>
        </w:rPr>
        <w:t>(啓)</w:t>
      </w:r>
      <w:r w:rsidRPr="00537AD5">
        <w:rPr>
          <w:rFonts w:eastAsiaTheme="majorEastAsia"/>
          <w:lang w:val="pt-BR"/>
        </w:rPr>
        <w:t xml:space="preserve">, văn thể thuộc loại công văn hành chính chuyên dùng để cho bề tôi dãi bày những suy nghĩ, chính kiến của cá nhân mình về các vấn đề chính trị của đất nước khi muốn tâu lên vua chúa. </w:t>
      </w:r>
    </w:p>
    <w:p w:rsidR="00BB08C4" w:rsidRPr="00537AD5" w:rsidRDefault="00BB08C4" w:rsidP="00BB08C4">
      <w:pPr>
        <w:spacing w:before="120" w:after="120" w:line="360" w:lineRule="auto"/>
        <w:ind w:firstLine="567"/>
        <w:jc w:val="both"/>
        <w:rPr>
          <w:rFonts w:eastAsiaTheme="majorEastAsia"/>
          <w:lang w:val="pt-BR"/>
        </w:rPr>
      </w:pPr>
      <w:r w:rsidRPr="00537AD5">
        <w:rPr>
          <w:rFonts w:eastAsiaTheme="majorEastAsia"/>
          <w:lang w:val="pt-BR"/>
        </w:rPr>
        <w:t>Về từ nguyên, khải 啓nghĩa: mở ra, bày ra, như câu thơ: “ngủ dậy mở cửa ra” (</w:t>
      </w:r>
      <w:r w:rsidRPr="00537AD5">
        <w:rPr>
          <w:rFonts w:eastAsiaTheme="majorEastAsia"/>
          <w:i/>
          <w:iCs/>
          <w:lang w:val="pt-BR"/>
        </w:rPr>
        <w:t>Thụy khởi khải song phi</w:t>
      </w:r>
      <w:r w:rsidRPr="00537AD5">
        <w:rPr>
          <w:rFonts w:eastAsiaTheme="majorEastAsia"/>
          <w:lang w:val="pt-BR"/>
        </w:rPr>
        <w:t xml:space="preserve">) trong thơ đời Trần. Nhưng theo cấu tạo chữ, thì khải (bộ khẩu) nghĩa gốc là dùng lời để bẩm cáo, tâu bày. Sách </w:t>
      </w:r>
      <w:r w:rsidRPr="00537AD5">
        <w:rPr>
          <w:rFonts w:eastAsiaTheme="majorEastAsia"/>
          <w:i/>
          <w:iCs/>
          <w:lang w:val="pt-BR"/>
        </w:rPr>
        <w:t>Thương quân thư</w:t>
      </w:r>
      <w:r w:rsidRPr="00537AD5">
        <w:rPr>
          <w:rFonts w:eastAsiaTheme="majorEastAsia"/>
          <w:lang w:val="pt-BR"/>
        </w:rPr>
        <w:t xml:space="preserve"> phần </w:t>
      </w:r>
      <w:r w:rsidRPr="00537AD5">
        <w:rPr>
          <w:rFonts w:eastAsiaTheme="majorEastAsia"/>
          <w:i/>
          <w:iCs/>
          <w:lang w:val="pt-BR"/>
        </w:rPr>
        <w:t>Khai tắc</w:t>
      </w:r>
      <w:r w:rsidRPr="00537AD5">
        <w:rPr>
          <w:rFonts w:eastAsiaTheme="majorEastAsia"/>
          <w:lang w:val="pt-BR"/>
        </w:rPr>
        <w:t xml:space="preserve"> có câu: “hôm nay xin tâu bày về việc ấy để lấy làm ví dụ” (今日願啓之以效). Trong tiếng Hán, K là một danh từ chung, phiếm chỉ các loại tấu sớ, công văn, thư trát nói chung. (</w:t>
      </w:r>
      <w:r w:rsidRPr="00537AD5">
        <w:rPr>
          <w:rFonts w:eastAsiaTheme="majorEastAsia"/>
          <w:i/>
          <w:iCs/>
          <w:lang w:val="pt-BR"/>
        </w:rPr>
        <w:t>Hán ngữ đại từ điển</w:t>
      </w:r>
      <w:r w:rsidRPr="00537AD5">
        <w:rPr>
          <w:rFonts w:eastAsiaTheme="majorEastAsia"/>
          <w:lang w:val="pt-BR"/>
        </w:rPr>
        <w:t xml:space="preserve">, 1994, q3, tr.394), và từ khải sự (啟事) nghĩa: giãi bày, tâu trình sự việc. K với tư cách là một danh từ, dùng để chỉ một loại hình văn bản hành chính cụ thể, thì mới chỉ thấy ở Việt Nam trong giai đoạn thế kỷ XVII-XVIII. </w:t>
      </w:r>
    </w:p>
    <w:p w:rsidR="00BB08C4" w:rsidRPr="00537AD5" w:rsidRDefault="00BB08C4" w:rsidP="00BB08C4">
      <w:pPr>
        <w:spacing w:before="120" w:after="120" w:line="360" w:lineRule="auto"/>
        <w:ind w:firstLine="567"/>
        <w:jc w:val="both"/>
        <w:rPr>
          <w:rFonts w:eastAsiaTheme="majorEastAsia"/>
          <w:lang w:val="pt-BR"/>
        </w:rPr>
      </w:pPr>
      <w:r w:rsidRPr="00537AD5">
        <w:rPr>
          <w:rFonts w:eastAsiaTheme="majorEastAsia"/>
          <w:lang w:val="pt-BR"/>
        </w:rPr>
        <w:t xml:space="preserve"> Cụ thể là, trong giai đoạn thời Lê Trịnh, trong khi biểu là dùng cho bề tôi, phiên vương dâng lên cho hoàng đế, thì K dùng trong nền hành chính của chính phủ, là văn bản mà các quan văn võ dùng để tâu bày cho chúa Trịnh. Sở dĩ xuất hiện khải văn là do cơ cấu chính trị lưỡng đầu chế của Đại Việt vào giai đoạn này. Nhà nước bao gồm hệ thống Lục bộ của vua Lê, nhưng thực quyền về chính trị, quân sự, kinh tế, lại thuộc về bộ máy phủ chúa Trịnh. Do tấu - biểu là văn bản đặc thù (riêng có) của đế vương theo mô hình chính trị Nho gia, nên phủ chúa sáng tạo ra thể khải để tránh tiếng tiếm quyền. Thực chất, đây chỉ là một cách ứng xử khéo léo như là một thủ pháp chính trị trên hệ thống văn bản hành chính đương thời. </w:t>
      </w:r>
    </w:p>
    <w:p w:rsidR="00BB08C4" w:rsidRPr="00537AD5" w:rsidRDefault="00BB08C4" w:rsidP="00BB08C4">
      <w:pPr>
        <w:spacing w:before="120" w:after="120" w:line="360" w:lineRule="auto"/>
        <w:ind w:firstLine="567"/>
        <w:jc w:val="both"/>
        <w:rPr>
          <w:rFonts w:eastAsiaTheme="majorEastAsia"/>
          <w:lang w:val="pt-BR"/>
        </w:rPr>
      </w:pPr>
      <w:r w:rsidRPr="00537AD5">
        <w:rPr>
          <w:rFonts w:eastAsiaTheme="majorEastAsia"/>
          <w:lang w:val="pt-BR"/>
        </w:rPr>
        <w:t xml:space="preserve"> Trong thế kỷ XVII, sử liệu còn chép nội dung bài khải của Bùi Sĩ Tiêm gồm 10 điều tâu về chính trị. Luật thời này quy định: “cấm người dân gửi tờ khải lên vượt bậc, và khám quan nhận khám trái lệ” (tr. 25). </w:t>
      </w:r>
    </w:p>
    <w:p w:rsidR="00BB08C4" w:rsidRPr="00537AD5" w:rsidRDefault="00BB08C4" w:rsidP="00BB08C4">
      <w:pPr>
        <w:spacing w:before="120" w:after="120" w:line="360" w:lineRule="auto"/>
        <w:ind w:firstLine="567"/>
        <w:jc w:val="both"/>
        <w:rPr>
          <w:rFonts w:eastAsiaTheme="majorEastAsia"/>
          <w:lang w:val="pt-BR"/>
        </w:rPr>
      </w:pPr>
      <w:r w:rsidRPr="00537AD5">
        <w:rPr>
          <w:rFonts w:eastAsiaTheme="majorEastAsia"/>
          <w:lang w:val="pt-BR"/>
        </w:rPr>
        <w:t xml:space="preserve">Phạm vi nội dung của khải theo lịch sử cũng dần được mở rộng. Giai đoạn đầu, khải chủ yếu là các văn bản trình bày về các việc hành chính, thuế má, chính </w:t>
      </w:r>
      <w:r w:rsidRPr="00537AD5">
        <w:rPr>
          <w:rFonts w:eastAsiaTheme="majorEastAsia"/>
          <w:lang w:val="pt-BR"/>
        </w:rPr>
        <w:lastRenderedPageBreak/>
        <w:t>trị, giáo dục, nhân sự, khoa cử, quân sự. Ở giai đoạn sau, khải mở rộng sang các phạm vi can gián, mừng lên quan, mừng thọ người trên, tạ quan, tạ ơn khen thưởng, tiến cử người hiền tài, dâng thơ văn. [4, tr. 132]. Thậm chí, để trang trọng, người ta dùng khải trong thư tín qua lại giữa các quan đồng liêu, hoặc bạn bè đồng học. Tức là, từ phạm vi hành chính, khải mở rộng sang cả thư tín cá nhân, và văn chương giao đãi.</w:t>
      </w:r>
    </w:p>
    <w:p w:rsidR="00BB08C4" w:rsidRPr="00537AD5" w:rsidRDefault="00BB08C4" w:rsidP="00BB08C4">
      <w:pPr>
        <w:spacing w:before="120" w:after="120" w:line="360" w:lineRule="auto"/>
        <w:ind w:firstLine="567"/>
        <w:jc w:val="both"/>
        <w:rPr>
          <w:rFonts w:eastAsiaTheme="majorEastAsia"/>
          <w:lang w:val="pt-BR"/>
        </w:rPr>
      </w:pPr>
      <w:r w:rsidRPr="00537AD5">
        <w:rPr>
          <w:rFonts w:eastAsiaTheme="majorEastAsia"/>
          <w:lang w:val="pt-BR"/>
        </w:rPr>
        <w:t>Về mặt văn thể, khải sử dụng cả hai loại tản văn và biền văn. Biền văn được sử dụng bởi các quan lại thuộc hàng văn giai, những người có khoa cử, có học chữ nghĩa khoa trường. Ví dụ, Phan Lê Phiên có đoạn khải như sau: “sang sảng như tiếng cung tiếng vũ chen nhau; lấp lánh như sao Khuê sao Lâu cùng sáng. Thực là văn chương rực rỡ đáng theo; nên cơ nghiệp tổ tiên được thịnh”. Còn tản văn thường sử dụng trong hàng võ quan, lời lẽ ngắn gọn, súc tích, giản dị, không khoa trương văn vẻ. Ví dụ, bài khải của Nguyễn Quý Đức và Nguyễn Thế Bá có câu: “nhưng xứ này [An Quảng] bờ biển xa xôi, xin sai riêng người bề tôi có năng lực chuyên giữ nhiệm vụ cầm phòng chế ngự.”</w:t>
      </w:r>
    </w:p>
    <w:p w:rsidR="00BB08C4" w:rsidRPr="00537AD5" w:rsidRDefault="00BB08C4" w:rsidP="00BB08C4">
      <w:pPr>
        <w:spacing w:before="120" w:after="120" w:line="360" w:lineRule="auto"/>
        <w:ind w:firstLine="567"/>
        <w:jc w:val="both"/>
        <w:rPr>
          <w:rFonts w:eastAsiaTheme="majorEastAsia"/>
          <w:lang w:val="pt-BR"/>
        </w:rPr>
      </w:pPr>
      <w:r w:rsidRPr="00537AD5">
        <w:rPr>
          <w:rFonts w:eastAsiaTheme="majorEastAsia"/>
          <w:lang w:val="pt-BR"/>
        </w:rPr>
        <w:t>Trong thế kỷ XVII - XVIII, có nhiều bài khải có giá trị về mặt sử liệu và văn học, với hàng loạt các tác gia quan trọng như Nguyễn Mậu Tài, Lê Quý Đôn, Phan Huy Ích, Ngô Thì Sĩ, Ngô Thì Nhậm,...</w:t>
      </w:r>
    </w:p>
    <w:p w:rsidR="00BB08C4" w:rsidRPr="00537AD5" w:rsidRDefault="00BB08C4" w:rsidP="00BB08C4">
      <w:pPr>
        <w:spacing w:line="360" w:lineRule="auto"/>
        <w:ind w:firstLine="567"/>
        <w:jc w:val="right"/>
        <w:rPr>
          <w:rFonts w:eastAsiaTheme="majorEastAsia"/>
          <w:lang w:val="vi-VN"/>
        </w:rPr>
      </w:pPr>
      <w:r w:rsidRPr="00537AD5">
        <w:rPr>
          <w:rFonts w:eastAsiaTheme="majorEastAsia"/>
          <w:b/>
          <w:bCs/>
          <w:sz w:val="20"/>
          <w:szCs w:val="20"/>
          <w:lang w:val="pt-BR"/>
        </w:rPr>
        <w:t>TRẦN TRỌNG DƯƠNG</w:t>
      </w:r>
    </w:p>
    <w:p w:rsidR="00BB08C4" w:rsidRPr="00537AD5" w:rsidRDefault="00BB08C4" w:rsidP="00BB08C4">
      <w:pPr>
        <w:spacing w:line="360" w:lineRule="auto"/>
        <w:rPr>
          <w:rFonts w:eastAsiaTheme="majorEastAsia"/>
          <w:b/>
          <w:sz w:val="24"/>
          <w:szCs w:val="24"/>
          <w:lang w:val="pt-BR"/>
        </w:rPr>
      </w:pPr>
      <w:r w:rsidRPr="00537AD5">
        <w:rPr>
          <w:rFonts w:eastAsiaTheme="majorEastAsia"/>
          <w:b/>
          <w:sz w:val="24"/>
          <w:szCs w:val="24"/>
          <w:lang w:val="pt-BR"/>
        </w:rPr>
        <w:t>Tài liệu tham khảo</w:t>
      </w:r>
    </w:p>
    <w:p w:rsidR="00BB08C4" w:rsidRPr="00537AD5" w:rsidRDefault="00BB08C4" w:rsidP="00BB08C4">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vi-VN"/>
        </w:rPr>
        <w:t xml:space="preserve">1. </w:t>
      </w:r>
      <w:r w:rsidRPr="00537AD5">
        <w:rPr>
          <w:rFonts w:ascii="Times New Roman" w:eastAsiaTheme="majorEastAsia" w:hAnsi="Times New Roman"/>
          <w:sz w:val="24"/>
          <w:szCs w:val="24"/>
          <w:lang w:val="pt-BR"/>
        </w:rPr>
        <w:t xml:space="preserve">Ngô Thế Long, Nguyễn Kim Hưng (dịch và khảo chứng), Nguyễn Đổng Chi (hiệu đính), </w:t>
      </w:r>
      <w:r w:rsidRPr="00537AD5">
        <w:rPr>
          <w:rFonts w:ascii="Times New Roman" w:eastAsiaTheme="majorEastAsia" w:hAnsi="Times New Roman"/>
          <w:i/>
          <w:sz w:val="24"/>
          <w:szCs w:val="24"/>
          <w:lang w:val="pt-BR"/>
        </w:rPr>
        <w:t>Đại Việt sử ký tục biên</w:t>
      </w:r>
      <w:r w:rsidRPr="00537AD5">
        <w:rPr>
          <w:rFonts w:ascii="Times New Roman" w:eastAsiaTheme="majorEastAsia" w:hAnsi="Times New Roman"/>
          <w:sz w:val="24"/>
          <w:szCs w:val="24"/>
          <w:lang w:val="pt-BR"/>
        </w:rPr>
        <w:t>, Nxb Khoa học xã hội, Hà Nội. 1991.</w:t>
      </w:r>
    </w:p>
    <w:p w:rsidR="00BB08C4" w:rsidRPr="00537AD5" w:rsidRDefault="00BB08C4" w:rsidP="00BB08C4">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vi-VN"/>
        </w:rPr>
        <w:t xml:space="preserve">2. </w:t>
      </w:r>
      <w:r w:rsidRPr="00537AD5">
        <w:rPr>
          <w:rFonts w:ascii="Times New Roman" w:eastAsiaTheme="majorEastAsia" w:hAnsi="Times New Roman"/>
          <w:sz w:val="24"/>
          <w:szCs w:val="24"/>
          <w:lang w:val="pt-BR"/>
        </w:rPr>
        <w:t>Nguyễn Minh Đăng, “Hai văn kiện ngoại giao viết bằng chữ Nôm”,</w:t>
      </w:r>
      <w:r w:rsidRPr="00537AD5">
        <w:rPr>
          <w:rFonts w:ascii="Times New Roman" w:eastAsiaTheme="majorEastAsia" w:hAnsi="Times New Roman"/>
          <w:i/>
          <w:sz w:val="24"/>
          <w:szCs w:val="24"/>
          <w:lang w:val="pt-BR"/>
        </w:rPr>
        <w:t xml:space="preserve"> Hán Nôm</w:t>
      </w:r>
      <w:r w:rsidRPr="00537AD5">
        <w:rPr>
          <w:rFonts w:ascii="Times New Roman" w:eastAsiaTheme="majorEastAsia" w:hAnsi="Times New Roman"/>
          <w:sz w:val="24"/>
          <w:szCs w:val="24"/>
          <w:lang w:val="pt-BR"/>
        </w:rPr>
        <w:t>, 2008.</w:t>
      </w:r>
    </w:p>
    <w:p w:rsidR="00BB08C4" w:rsidRPr="00537AD5" w:rsidRDefault="00BB08C4" w:rsidP="00BB08C4">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vi-VN"/>
        </w:rPr>
        <w:t xml:space="preserve">3. </w:t>
      </w:r>
      <w:r w:rsidRPr="00537AD5">
        <w:rPr>
          <w:rFonts w:ascii="Times New Roman" w:eastAsiaTheme="majorEastAsia" w:hAnsi="Times New Roman"/>
          <w:sz w:val="24"/>
          <w:szCs w:val="24"/>
          <w:lang w:val="pt-BR"/>
        </w:rPr>
        <w:t>Nguyễn Thị Lâm, “Thêm một bài khải Nôm thời Lê”</w:t>
      </w:r>
      <w:r w:rsidRPr="00537AD5">
        <w:rPr>
          <w:rFonts w:ascii="Times New Roman" w:eastAsiaTheme="majorEastAsia" w:hAnsi="Times New Roman"/>
          <w:i/>
          <w:sz w:val="24"/>
          <w:szCs w:val="24"/>
          <w:lang w:val="pt-BR"/>
        </w:rPr>
        <w:t>,</w:t>
      </w:r>
      <w:r w:rsidRPr="00537AD5">
        <w:rPr>
          <w:rFonts w:ascii="Times New Roman" w:eastAsiaTheme="majorEastAsia" w:hAnsi="Times New Roman"/>
          <w:sz w:val="24"/>
          <w:szCs w:val="24"/>
          <w:lang w:val="pt-BR"/>
        </w:rPr>
        <w:t xml:space="preserve"> </w:t>
      </w:r>
      <w:r w:rsidRPr="00537AD5">
        <w:rPr>
          <w:rFonts w:ascii="Times New Roman" w:eastAsiaTheme="majorEastAsia" w:hAnsi="Times New Roman"/>
          <w:i/>
          <w:sz w:val="24"/>
          <w:szCs w:val="24"/>
          <w:lang w:val="pt-BR"/>
        </w:rPr>
        <w:t>Thông báo Hán Nôm học năm 2009</w:t>
      </w:r>
      <w:r w:rsidRPr="00537AD5">
        <w:rPr>
          <w:rFonts w:ascii="Times New Roman" w:eastAsiaTheme="majorEastAsia" w:hAnsi="Times New Roman"/>
          <w:sz w:val="24"/>
          <w:szCs w:val="24"/>
          <w:lang w:val="pt-BR"/>
        </w:rPr>
        <w:t>, Nxb Thế giới, Hà Nội, tr. 598-603, 2010.</w:t>
      </w:r>
    </w:p>
    <w:p w:rsidR="00BB08C4" w:rsidRPr="00537AD5" w:rsidRDefault="00BB08C4" w:rsidP="00BB08C4">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vi-VN"/>
        </w:rPr>
        <w:t xml:space="preserve">4. </w:t>
      </w:r>
      <w:r w:rsidRPr="00537AD5">
        <w:rPr>
          <w:rFonts w:ascii="Times New Roman" w:eastAsiaTheme="majorEastAsia" w:hAnsi="Times New Roman"/>
          <w:sz w:val="24"/>
          <w:szCs w:val="24"/>
          <w:lang w:val="pt-BR"/>
        </w:rPr>
        <w:t xml:space="preserve">Trần Thị Kim Anh, Hoàng Hồng Cẩm, </w:t>
      </w:r>
      <w:r w:rsidRPr="00537AD5">
        <w:rPr>
          <w:rFonts w:ascii="Times New Roman" w:eastAsiaTheme="majorEastAsia" w:hAnsi="Times New Roman"/>
          <w:i/>
          <w:sz w:val="24"/>
          <w:szCs w:val="24"/>
          <w:lang w:val="pt-BR"/>
        </w:rPr>
        <w:t>Các thể văn chữ Hán Việt Nam</w:t>
      </w:r>
      <w:r w:rsidRPr="00537AD5">
        <w:rPr>
          <w:rFonts w:ascii="Times New Roman" w:eastAsiaTheme="majorEastAsia" w:hAnsi="Times New Roman"/>
          <w:sz w:val="24"/>
          <w:szCs w:val="24"/>
          <w:lang w:val="pt-BR"/>
        </w:rPr>
        <w:t>, Nxb Khoa học xã hội, Hà Nội, 2010.</w:t>
      </w:r>
    </w:p>
    <w:p w:rsidR="00BB08C4" w:rsidRPr="00537AD5" w:rsidRDefault="00BB08C4" w:rsidP="00BB08C4">
      <w:pPr>
        <w:spacing w:line="360" w:lineRule="auto"/>
        <w:jc w:val="both"/>
        <w:rPr>
          <w:rFonts w:eastAsiaTheme="majorEastAsia"/>
          <w:sz w:val="24"/>
          <w:szCs w:val="24"/>
          <w:lang w:val="pt-BR"/>
        </w:rPr>
      </w:pPr>
      <w:r w:rsidRPr="00537AD5">
        <w:rPr>
          <w:rFonts w:eastAsiaTheme="majorEastAsia"/>
          <w:sz w:val="24"/>
          <w:szCs w:val="24"/>
          <w:lang w:val="vi-VN"/>
        </w:rPr>
        <w:t xml:space="preserve">5. </w:t>
      </w:r>
      <w:r w:rsidRPr="00537AD5">
        <w:rPr>
          <w:rFonts w:eastAsiaTheme="majorEastAsia"/>
          <w:sz w:val="24"/>
          <w:szCs w:val="24"/>
          <w:lang w:val="pt-BR"/>
        </w:rPr>
        <w:t xml:space="preserve">Viện Nghiên cứu Hán Nôm, </w:t>
      </w:r>
      <w:r w:rsidRPr="00537AD5">
        <w:rPr>
          <w:rFonts w:eastAsiaTheme="majorEastAsia"/>
          <w:i/>
          <w:sz w:val="24"/>
          <w:szCs w:val="24"/>
          <w:lang w:val="pt-BR"/>
        </w:rPr>
        <w:t>Đỗ Đại Vương niên phả</w:t>
      </w:r>
      <w:r w:rsidRPr="00537AD5">
        <w:rPr>
          <w:rFonts w:eastAsiaTheme="majorEastAsia"/>
          <w:sz w:val="24"/>
          <w:szCs w:val="24"/>
          <w:lang w:val="pt-BR"/>
        </w:rPr>
        <w:t>, Kí hiệu: A.179.</w:t>
      </w:r>
    </w:p>
    <w:p w:rsidR="00BB08C4" w:rsidRPr="00537AD5" w:rsidRDefault="00BB08C4" w:rsidP="00BB08C4">
      <w:pPr>
        <w:spacing w:line="360" w:lineRule="auto"/>
        <w:jc w:val="both"/>
        <w:rPr>
          <w:rFonts w:eastAsiaTheme="majorEastAsia"/>
          <w:lang w:val="pt-BR" w:eastAsia="zh-CN"/>
        </w:rPr>
      </w:pPr>
      <w:r w:rsidRPr="00537AD5">
        <w:rPr>
          <w:rFonts w:eastAsiaTheme="majorEastAsia"/>
          <w:sz w:val="24"/>
          <w:szCs w:val="24"/>
          <w:lang w:val="pt-BR" w:eastAsia="zh-CN"/>
        </w:rPr>
        <w:t xml:space="preserve">6. </w:t>
      </w:r>
      <w:r w:rsidRPr="00537AD5">
        <w:rPr>
          <w:rFonts w:eastAsiaTheme="majorEastAsia" w:hint="eastAsia"/>
          <w:sz w:val="24"/>
          <w:szCs w:val="24"/>
          <w:lang w:val="pt-BR" w:eastAsia="zh-CN"/>
        </w:rPr>
        <w:t>罗竹风</w:t>
      </w:r>
      <w:r w:rsidRPr="00537AD5">
        <w:rPr>
          <w:rFonts w:eastAsiaTheme="majorEastAsia"/>
          <w:sz w:val="24"/>
          <w:szCs w:val="24"/>
          <w:lang w:val="pt-BR" w:eastAsia="zh-CN"/>
        </w:rPr>
        <w:t xml:space="preserve"> </w:t>
      </w:r>
      <w:r w:rsidRPr="00537AD5">
        <w:rPr>
          <w:rFonts w:eastAsiaTheme="majorEastAsia" w:hint="eastAsia"/>
          <w:sz w:val="24"/>
          <w:szCs w:val="24"/>
          <w:lang w:val="pt-BR" w:eastAsia="zh-CN"/>
        </w:rPr>
        <w:t>主编</w:t>
      </w:r>
      <w:r w:rsidRPr="00537AD5">
        <w:rPr>
          <w:rFonts w:eastAsiaTheme="majorEastAsia"/>
          <w:sz w:val="24"/>
          <w:szCs w:val="24"/>
          <w:lang w:val="pt-BR" w:eastAsia="zh-CN"/>
        </w:rPr>
        <w:t xml:space="preserve">, </w:t>
      </w:r>
      <w:r w:rsidRPr="00537AD5">
        <w:rPr>
          <w:rFonts w:eastAsiaTheme="majorEastAsia" w:hint="eastAsia"/>
          <w:sz w:val="24"/>
          <w:szCs w:val="24"/>
          <w:lang w:val="pt-BR" w:eastAsia="zh-CN"/>
        </w:rPr>
        <w:t>《汉语大词典》,全</w:t>
      </w:r>
      <w:r w:rsidRPr="00537AD5">
        <w:rPr>
          <w:rFonts w:eastAsiaTheme="majorEastAsia"/>
          <w:sz w:val="24"/>
          <w:szCs w:val="24"/>
          <w:lang w:val="pt-BR" w:eastAsia="zh-CN"/>
        </w:rPr>
        <w:t>13</w:t>
      </w:r>
      <w:r w:rsidRPr="00537AD5">
        <w:rPr>
          <w:rFonts w:eastAsiaTheme="majorEastAsia" w:hint="eastAsia"/>
          <w:sz w:val="24"/>
          <w:szCs w:val="24"/>
          <w:lang w:val="pt-BR" w:eastAsia="zh-CN"/>
        </w:rPr>
        <w:t>卷,</w:t>
      </w:r>
      <w:r w:rsidRPr="00537AD5">
        <w:rPr>
          <w:rFonts w:eastAsiaTheme="majorEastAsia"/>
          <w:sz w:val="24"/>
          <w:szCs w:val="24"/>
          <w:lang w:val="pt-BR" w:eastAsia="zh-CN"/>
        </w:rPr>
        <w:t xml:space="preserve"> </w:t>
      </w:r>
      <w:r w:rsidRPr="00537AD5">
        <w:rPr>
          <w:rFonts w:eastAsiaTheme="majorEastAsia" w:hint="eastAsia"/>
          <w:sz w:val="24"/>
          <w:szCs w:val="24"/>
          <w:lang w:val="pt-BR" w:eastAsia="zh-CN"/>
        </w:rPr>
        <w:t>汉语大词典出版社,</w:t>
      </w:r>
      <w:r w:rsidRPr="00537AD5">
        <w:rPr>
          <w:rFonts w:eastAsiaTheme="majorEastAsia"/>
          <w:sz w:val="24"/>
          <w:szCs w:val="24"/>
          <w:lang w:val="pt-BR" w:eastAsia="zh-CN"/>
        </w:rPr>
        <w:t xml:space="preserve"> 1994.</w:t>
      </w:r>
    </w:p>
    <w:p w:rsidR="0074324B" w:rsidRPr="00BB08C4" w:rsidRDefault="00BB08C4" w:rsidP="00BB08C4">
      <w:pPr>
        <w:rPr>
          <w:lang w:val="pt-BR"/>
        </w:rPr>
      </w:pPr>
      <w:r w:rsidRPr="00537AD5">
        <w:rPr>
          <w:rFonts w:eastAsiaTheme="majorEastAsia"/>
          <w:sz w:val="24"/>
          <w:szCs w:val="24"/>
          <w:lang w:val="vi-VN" w:eastAsia="zh-CN"/>
        </w:rPr>
        <w:br w:type="column"/>
      </w:r>
      <w:bookmarkStart w:id="0" w:name="_GoBack"/>
      <w:bookmarkEnd w:id="0"/>
    </w:p>
    <w:sectPr w:rsidR="0074324B" w:rsidRPr="00BB08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769"/>
    <w:rsid w:val="005A6D57"/>
    <w:rsid w:val="007D3409"/>
    <w:rsid w:val="00B06769"/>
    <w:rsid w:val="00BB08C4"/>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E47BD-AA38-4946-8ABE-F5A8C1A7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8C4"/>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Note de bas de page1,Note de bas de page1 Char Char, Char5, Char8, Char,Char,Chu thich,Char5,Char8,Footnote Text Char Char Char Char Char,Footnote Text Char Char Char Char Char Char Ch,Footnote Text Char Char Char Char Char Char Ch Char,fn"/>
    <w:basedOn w:val="Normal"/>
    <w:link w:val="FootnoteTextChar"/>
    <w:qFormat/>
    <w:rsid w:val="00BB08C4"/>
    <w:pPr>
      <w:spacing w:before="120" w:line="360" w:lineRule="exact"/>
      <w:jc w:val="both"/>
    </w:pPr>
    <w:rPr>
      <w:rFonts w:ascii=".VnCentury Schoolbook" w:eastAsia="MS Mincho" w:hAnsi=".VnCentury Schoolbook"/>
      <w:sz w:val="20"/>
      <w:szCs w:val="20"/>
    </w:rPr>
  </w:style>
  <w:style w:type="character" w:customStyle="1" w:styleId="FootnoteTextChar">
    <w:name w:val="Footnote Text Char"/>
    <w:aliases w:val="Note de bas de page1 Char,Note de bas de page1 Char Char Char, Char5 Char, Char8 Char, Char Char,Char Char,Chu thich Char,Char5 Char,Char8 Char,Footnote Text Char Char Char Char Char Char,fn Char"/>
    <w:basedOn w:val="DefaultParagraphFont"/>
    <w:link w:val="FootnoteText"/>
    <w:qFormat/>
    <w:rsid w:val="00BB08C4"/>
    <w:rPr>
      <w:rFonts w:ascii=".VnCentury Schoolbook" w:eastAsia="MS Mincho" w:hAnsi=".VnCentury Schoolbook"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2025-12-15T07:45:00Z</dcterms:created>
  <dcterms:modified xsi:type="dcterms:W3CDTF">2025-12-15T07:45:00Z</dcterms:modified>
</cp:coreProperties>
</file>